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0C1D" w:rsidRDefault="00790C1D" w:rsidP="004A62DD">
      <w:pPr>
        <w:tabs>
          <w:tab w:val="left" w:pos="1080"/>
          <w:tab w:val="left" w:pos="1440"/>
        </w:tabs>
        <w:spacing w:after="0" w:line="480" w:lineRule="auto"/>
        <w:jc w:val="both"/>
        <w:rPr>
          <w:rFonts w:ascii="Arial" w:eastAsia="Times New Roman" w:hAnsi="Arial" w:cs="Arial"/>
          <w:b/>
          <w:sz w:val="24"/>
          <w:szCs w:val="24"/>
        </w:rPr>
      </w:pPr>
      <w:r w:rsidRPr="00790C1D">
        <w:rPr>
          <w:rFonts w:ascii="Arial" w:eastAsia="Times New Roman" w:hAnsi="Arial" w:cs="Arial"/>
          <w:b/>
          <w:sz w:val="24"/>
          <w:szCs w:val="24"/>
        </w:rPr>
        <w:t>Simplified Molecular Classification of Lung Adenocarcinomas Based on EGFR, KRAS, and TP53 Mutations</w:t>
      </w:r>
    </w:p>
    <w:p w:rsidR="00790C1D" w:rsidRDefault="00790C1D" w:rsidP="004A62DD">
      <w:pPr>
        <w:tabs>
          <w:tab w:val="left" w:pos="1080"/>
          <w:tab w:val="left" w:pos="1440"/>
        </w:tabs>
        <w:spacing w:after="0" w:line="480" w:lineRule="auto"/>
        <w:jc w:val="both"/>
        <w:rPr>
          <w:rFonts w:ascii="Arial" w:eastAsia="Times New Roman" w:hAnsi="Arial" w:cs="Arial"/>
          <w:b/>
          <w:sz w:val="24"/>
          <w:szCs w:val="24"/>
        </w:rPr>
      </w:pPr>
    </w:p>
    <w:p w:rsidR="00790C1D" w:rsidRDefault="00790C1D" w:rsidP="004A62DD">
      <w:pPr>
        <w:tabs>
          <w:tab w:val="left" w:pos="1080"/>
          <w:tab w:val="left" w:pos="1440"/>
        </w:tabs>
        <w:spacing w:after="0" w:line="480" w:lineRule="auto"/>
        <w:jc w:val="both"/>
        <w:rPr>
          <w:rFonts w:ascii="Arial" w:eastAsia="Times New Roman" w:hAnsi="Arial" w:cs="Arial"/>
          <w:b/>
          <w:sz w:val="24"/>
          <w:szCs w:val="24"/>
        </w:rPr>
      </w:pPr>
      <w:r>
        <w:rPr>
          <w:rFonts w:ascii="Arial" w:eastAsia="Times New Roman" w:hAnsi="Arial" w:cs="Arial"/>
          <w:b/>
          <w:sz w:val="24"/>
          <w:szCs w:val="24"/>
        </w:rPr>
        <w:t>Supplement Data</w:t>
      </w:r>
    </w:p>
    <w:p w:rsidR="00790C1D" w:rsidRDefault="00790C1D" w:rsidP="004A62DD">
      <w:pPr>
        <w:tabs>
          <w:tab w:val="left" w:pos="1080"/>
          <w:tab w:val="left" w:pos="1440"/>
        </w:tabs>
        <w:spacing w:after="0" w:line="480" w:lineRule="auto"/>
        <w:jc w:val="both"/>
        <w:rPr>
          <w:rFonts w:ascii="Arial" w:eastAsia="Times New Roman" w:hAnsi="Arial" w:cs="Arial"/>
          <w:b/>
          <w:sz w:val="24"/>
          <w:szCs w:val="24"/>
        </w:rPr>
      </w:pPr>
    </w:p>
    <w:p w:rsidR="00790C1D" w:rsidRPr="00790C1D" w:rsidRDefault="00790C1D" w:rsidP="004A62DD">
      <w:pPr>
        <w:tabs>
          <w:tab w:val="left" w:pos="1080"/>
          <w:tab w:val="left" w:pos="1440"/>
        </w:tabs>
        <w:spacing w:after="0" w:line="480" w:lineRule="auto"/>
        <w:jc w:val="both"/>
        <w:rPr>
          <w:rFonts w:ascii="Arial" w:eastAsia="Times New Roman" w:hAnsi="Arial" w:cs="Arial"/>
          <w:b/>
          <w:sz w:val="24"/>
          <w:szCs w:val="24"/>
        </w:rPr>
      </w:pPr>
      <w:r w:rsidRPr="00790C1D">
        <w:rPr>
          <w:rFonts w:ascii="Arial" w:eastAsia="Times New Roman" w:hAnsi="Arial" w:cs="Arial"/>
          <w:b/>
          <w:sz w:val="24"/>
          <w:szCs w:val="24"/>
        </w:rPr>
        <w:t>Materials and Methods</w:t>
      </w:r>
    </w:p>
    <w:p w:rsidR="00790C1D" w:rsidRPr="00790C1D" w:rsidRDefault="00790C1D" w:rsidP="004A62DD">
      <w:pPr>
        <w:tabs>
          <w:tab w:val="left" w:pos="1080"/>
          <w:tab w:val="left" w:pos="1440"/>
        </w:tabs>
        <w:spacing w:after="0" w:line="480" w:lineRule="auto"/>
        <w:jc w:val="both"/>
        <w:rPr>
          <w:rFonts w:ascii="Arial" w:eastAsia="Times New Roman" w:hAnsi="Arial" w:cs="Arial"/>
          <w:i/>
          <w:sz w:val="24"/>
          <w:szCs w:val="24"/>
        </w:rPr>
      </w:pPr>
      <w:r w:rsidRPr="00790C1D">
        <w:rPr>
          <w:rFonts w:ascii="Arial" w:eastAsia="Times New Roman" w:hAnsi="Arial" w:cs="Arial"/>
          <w:i/>
          <w:sz w:val="24"/>
          <w:szCs w:val="24"/>
        </w:rPr>
        <w:t>Mutational analysis</w:t>
      </w:r>
    </w:p>
    <w:p w:rsidR="00ED636D" w:rsidRDefault="00790C1D" w:rsidP="004A62DD">
      <w:pPr>
        <w:tabs>
          <w:tab w:val="left" w:pos="1080"/>
          <w:tab w:val="left" w:pos="1440"/>
        </w:tabs>
        <w:spacing w:after="0" w:line="480" w:lineRule="auto"/>
        <w:jc w:val="both"/>
        <w:rPr>
          <w:rFonts w:ascii="Arial" w:eastAsia="Times New Roman" w:hAnsi="Arial" w:cs="Arial"/>
          <w:sz w:val="24"/>
          <w:szCs w:val="24"/>
        </w:rPr>
      </w:pPr>
      <w:r>
        <w:rPr>
          <w:rFonts w:ascii="Arial" w:eastAsia="Times New Roman" w:hAnsi="Arial" w:cs="Arial"/>
          <w:sz w:val="24"/>
          <w:szCs w:val="24"/>
        </w:rPr>
        <w:tab/>
      </w:r>
      <w:r w:rsidR="004A62DD" w:rsidRPr="004A62DD">
        <w:rPr>
          <w:rFonts w:ascii="Arial" w:eastAsia="Times New Roman" w:hAnsi="Arial" w:cs="Arial"/>
          <w:sz w:val="24"/>
          <w:szCs w:val="24"/>
        </w:rPr>
        <w:t>PCR testing for</w:t>
      </w:r>
      <w:r w:rsidR="00ED636D">
        <w:rPr>
          <w:rFonts w:ascii="Arial" w:eastAsia="Times New Roman" w:hAnsi="Arial" w:cs="Arial"/>
          <w:sz w:val="24"/>
          <w:szCs w:val="24"/>
        </w:rPr>
        <w:t xml:space="preserve"> </w:t>
      </w:r>
      <w:r w:rsidR="00ED636D" w:rsidRPr="00ED636D">
        <w:rPr>
          <w:rFonts w:ascii="Arial" w:eastAsia="Times New Roman" w:hAnsi="Arial" w:cs="Arial"/>
          <w:i/>
          <w:sz w:val="24"/>
          <w:szCs w:val="24"/>
        </w:rPr>
        <w:t>BRAF</w:t>
      </w:r>
      <w:r w:rsidR="00ED636D">
        <w:rPr>
          <w:rFonts w:ascii="Arial" w:eastAsia="Times New Roman" w:hAnsi="Arial" w:cs="Arial"/>
          <w:sz w:val="24"/>
          <w:szCs w:val="24"/>
        </w:rPr>
        <w:t xml:space="preserve"> and </w:t>
      </w:r>
      <w:r w:rsidR="00ED636D" w:rsidRPr="00ED636D">
        <w:rPr>
          <w:rFonts w:ascii="Arial" w:eastAsia="Times New Roman" w:hAnsi="Arial" w:cs="Arial"/>
          <w:i/>
          <w:sz w:val="24"/>
          <w:szCs w:val="24"/>
        </w:rPr>
        <w:t>KRAS</w:t>
      </w:r>
      <w:r w:rsidR="00ED636D">
        <w:rPr>
          <w:rFonts w:ascii="Arial" w:eastAsia="Times New Roman" w:hAnsi="Arial" w:cs="Arial"/>
          <w:sz w:val="24"/>
          <w:szCs w:val="24"/>
        </w:rPr>
        <w:t xml:space="preserve"> </w:t>
      </w:r>
      <w:proofErr w:type="gramStart"/>
      <w:r w:rsidR="00ED636D">
        <w:rPr>
          <w:rFonts w:ascii="Arial" w:eastAsia="Times New Roman" w:hAnsi="Arial" w:cs="Arial"/>
          <w:sz w:val="24"/>
          <w:szCs w:val="24"/>
        </w:rPr>
        <w:t>was performed</w:t>
      </w:r>
      <w:proofErr w:type="gramEnd"/>
      <w:r w:rsidR="00ED636D">
        <w:rPr>
          <w:rFonts w:ascii="Arial" w:eastAsia="Times New Roman" w:hAnsi="Arial" w:cs="Arial"/>
          <w:sz w:val="24"/>
          <w:szCs w:val="24"/>
        </w:rPr>
        <w:t xml:space="preserve"> </w:t>
      </w:r>
      <w:r w:rsidR="00BE578B">
        <w:rPr>
          <w:rFonts w:ascii="Arial" w:eastAsia="Times New Roman" w:hAnsi="Arial" w:cs="Arial"/>
          <w:sz w:val="24"/>
          <w:szCs w:val="24"/>
        </w:rPr>
        <w:t>using</w:t>
      </w:r>
      <w:r w:rsidR="00ED636D">
        <w:rPr>
          <w:rFonts w:ascii="Arial" w:eastAsia="Times New Roman" w:hAnsi="Arial" w:cs="Arial"/>
          <w:sz w:val="24"/>
          <w:szCs w:val="24"/>
        </w:rPr>
        <w:t xml:space="preserve"> pyrosequencing. For</w:t>
      </w:r>
      <w:r w:rsidR="004A62DD" w:rsidRPr="004A62DD">
        <w:rPr>
          <w:rFonts w:ascii="Arial" w:eastAsia="Times New Roman" w:hAnsi="Arial" w:cs="Arial"/>
          <w:sz w:val="24"/>
          <w:szCs w:val="24"/>
        </w:rPr>
        <w:t xml:space="preserve"> </w:t>
      </w:r>
      <w:r w:rsidR="004A62DD" w:rsidRPr="004A62DD">
        <w:rPr>
          <w:rFonts w:ascii="Arial" w:eastAsia="Times New Roman" w:hAnsi="Arial" w:cs="Arial"/>
          <w:i/>
          <w:sz w:val="24"/>
          <w:szCs w:val="24"/>
        </w:rPr>
        <w:t>BRAF</w:t>
      </w:r>
      <w:r w:rsidR="004A62DD" w:rsidRPr="004A62DD">
        <w:rPr>
          <w:rFonts w:ascii="Arial" w:eastAsia="Times New Roman" w:hAnsi="Arial" w:cs="Arial"/>
          <w:sz w:val="24"/>
          <w:szCs w:val="24"/>
        </w:rPr>
        <w:t xml:space="preserve"> exon 15 (codon 595/5</w:t>
      </w:r>
      <w:r w:rsidR="00ED636D">
        <w:rPr>
          <w:rFonts w:ascii="Arial" w:eastAsia="Times New Roman" w:hAnsi="Arial" w:cs="Arial"/>
          <w:sz w:val="24"/>
          <w:szCs w:val="24"/>
        </w:rPr>
        <w:t xml:space="preserve">96 and codon 599/600) mutations, </w:t>
      </w:r>
      <w:r w:rsidR="00274E86">
        <w:rPr>
          <w:rFonts w:ascii="Arial" w:eastAsia="Times New Roman" w:hAnsi="Arial" w:cs="Arial"/>
          <w:sz w:val="24"/>
          <w:szCs w:val="24"/>
        </w:rPr>
        <w:t xml:space="preserve">a 231-base </w:t>
      </w:r>
      <w:r w:rsidR="004A62DD" w:rsidRPr="004A62DD">
        <w:rPr>
          <w:rFonts w:ascii="Arial" w:eastAsia="Times New Roman" w:hAnsi="Arial" w:cs="Arial"/>
          <w:sz w:val="24"/>
          <w:szCs w:val="24"/>
        </w:rPr>
        <w:t>p</w:t>
      </w:r>
      <w:r w:rsidR="00274E86">
        <w:rPr>
          <w:rFonts w:ascii="Arial" w:eastAsia="Times New Roman" w:hAnsi="Arial" w:cs="Arial"/>
          <w:sz w:val="24"/>
          <w:szCs w:val="24"/>
        </w:rPr>
        <w:t>air</w:t>
      </w:r>
      <w:r w:rsidR="004A62DD" w:rsidRPr="004A62DD">
        <w:rPr>
          <w:rFonts w:ascii="Arial" w:eastAsia="Times New Roman" w:hAnsi="Arial" w:cs="Arial"/>
          <w:sz w:val="24"/>
          <w:szCs w:val="24"/>
        </w:rPr>
        <w:t xml:space="preserve"> amplicon was amplified using a forward (M13-CAT AAT GCT TGC TCT GAT AGG A) and a reverse biotinylated primer (biotin-M13-GGC CAA AAA TTT AAT CAG TGG A).</w:t>
      </w:r>
      <w:r w:rsidR="004A62DD">
        <w:rPr>
          <w:rFonts w:ascii="Arial" w:eastAsia="Times New Roman" w:hAnsi="Arial" w:cs="Arial"/>
          <w:sz w:val="24"/>
          <w:szCs w:val="24"/>
        </w:rPr>
        <w:t xml:space="preserve"> </w:t>
      </w:r>
      <w:r w:rsidR="00274E86">
        <w:rPr>
          <w:rFonts w:ascii="Arial" w:eastAsia="Times New Roman" w:hAnsi="Arial" w:cs="Arial"/>
          <w:sz w:val="24"/>
          <w:szCs w:val="24"/>
        </w:rPr>
        <w:t>F</w:t>
      </w:r>
      <w:r w:rsidR="00ED636D">
        <w:rPr>
          <w:rFonts w:ascii="Arial" w:eastAsia="Times New Roman" w:hAnsi="Arial" w:cs="Arial"/>
          <w:sz w:val="24"/>
          <w:szCs w:val="24"/>
        </w:rPr>
        <w:t xml:space="preserve">or </w:t>
      </w:r>
      <w:r w:rsidR="00ED636D" w:rsidRPr="00AE0927">
        <w:rPr>
          <w:rFonts w:ascii="Arial" w:eastAsia="Times New Roman" w:hAnsi="Arial" w:cs="Arial"/>
          <w:i/>
          <w:sz w:val="24"/>
          <w:szCs w:val="24"/>
        </w:rPr>
        <w:t>KRAS</w:t>
      </w:r>
      <w:r w:rsidR="00ED636D">
        <w:rPr>
          <w:rFonts w:ascii="Arial" w:eastAsia="Times New Roman" w:hAnsi="Arial" w:cs="Arial"/>
          <w:sz w:val="24"/>
          <w:szCs w:val="24"/>
        </w:rPr>
        <w:t xml:space="preserve"> hotspot mutations</w:t>
      </w:r>
      <w:r w:rsidR="00BE578B">
        <w:rPr>
          <w:rFonts w:ascii="Arial" w:eastAsia="Times New Roman" w:hAnsi="Arial" w:cs="Arial"/>
          <w:sz w:val="24"/>
          <w:szCs w:val="24"/>
        </w:rPr>
        <w:t xml:space="preserve"> in </w:t>
      </w:r>
      <w:r w:rsidR="00BE578B">
        <w:rPr>
          <w:rFonts w:ascii="Arial" w:eastAsia="Times New Roman" w:hAnsi="Arial" w:cs="Arial"/>
          <w:sz w:val="24"/>
          <w:szCs w:val="24"/>
        </w:rPr>
        <w:t>codons 12 and 13</w:t>
      </w:r>
      <w:r w:rsidR="00274E86">
        <w:rPr>
          <w:rFonts w:ascii="Arial" w:eastAsia="Times New Roman" w:hAnsi="Arial" w:cs="Arial"/>
          <w:sz w:val="24"/>
          <w:szCs w:val="24"/>
        </w:rPr>
        <w:t>, a 98-base pair amplicon was amplified using a forward (TAT AAA CTT GTG GTA GTT GG) and a reverse biotinylated primer (biotin-ATT GTT GGA TCA TAT TCG T)</w:t>
      </w:r>
      <w:r w:rsidR="00BE578B">
        <w:rPr>
          <w:rFonts w:ascii="Arial" w:eastAsia="Times New Roman" w:hAnsi="Arial" w:cs="Arial"/>
          <w:sz w:val="24"/>
          <w:szCs w:val="24"/>
        </w:rPr>
        <w:t>. For codon 61 a</w:t>
      </w:r>
      <w:r w:rsidR="00274E86">
        <w:rPr>
          <w:rFonts w:ascii="Arial" w:eastAsia="Times New Roman" w:hAnsi="Arial" w:cs="Arial"/>
          <w:sz w:val="24"/>
          <w:szCs w:val="24"/>
        </w:rPr>
        <w:t xml:space="preserve"> forward (TTG GAT ATT CTC GAC ACA) and reverse </w:t>
      </w:r>
      <w:r w:rsidR="00BE578B">
        <w:rPr>
          <w:rFonts w:ascii="Arial" w:eastAsia="Times New Roman" w:hAnsi="Arial" w:cs="Arial"/>
          <w:sz w:val="24"/>
          <w:szCs w:val="24"/>
        </w:rPr>
        <w:t xml:space="preserve">biotinylated primer </w:t>
      </w:r>
      <w:r w:rsidR="00274E86">
        <w:rPr>
          <w:rFonts w:ascii="Arial" w:eastAsia="Times New Roman" w:hAnsi="Arial" w:cs="Arial"/>
          <w:sz w:val="24"/>
          <w:szCs w:val="24"/>
        </w:rPr>
        <w:t>(biotin-CCA CCT ATA ATG GTG AAT ATC T)</w:t>
      </w:r>
      <w:r w:rsidR="00BE578B">
        <w:rPr>
          <w:rFonts w:ascii="Arial" w:eastAsia="Times New Roman" w:hAnsi="Arial" w:cs="Arial"/>
          <w:sz w:val="24"/>
          <w:szCs w:val="24"/>
        </w:rPr>
        <w:t xml:space="preserve"> were used</w:t>
      </w:r>
      <w:r w:rsidR="00274E86">
        <w:rPr>
          <w:rFonts w:ascii="Arial" w:eastAsia="Times New Roman" w:hAnsi="Arial" w:cs="Arial"/>
          <w:sz w:val="24"/>
          <w:szCs w:val="24"/>
        </w:rPr>
        <w:t>.</w:t>
      </w:r>
      <w:r w:rsidR="00BE578B" w:rsidRPr="00BE578B">
        <w:rPr>
          <w:rFonts w:ascii="Arial" w:eastAsia="Times New Roman" w:hAnsi="Arial" w:cs="Arial"/>
          <w:sz w:val="24"/>
          <w:szCs w:val="24"/>
        </w:rPr>
        <w:t xml:space="preserve"> </w:t>
      </w:r>
      <w:r w:rsidR="00BE578B" w:rsidRPr="004A62DD">
        <w:rPr>
          <w:rFonts w:ascii="Arial" w:eastAsia="Times New Roman" w:hAnsi="Arial" w:cs="Arial"/>
          <w:sz w:val="24"/>
          <w:szCs w:val="24"/>
        </w:rPr>
        <w:t xml:space="preserve">The PCR master mix </w:t>
      </w:r>
      <w:r w:rsidR="00BE578B">
        <w:rPr>
          <w:rFonts w:ascii="Arial" w:eastAsia="Times New Roman" w:hAnsi="Arial" w:cs="Arial"/>
          <w:sz w:val="24"/>
          <w:szCs w:val="24"/>
        </w:rPr>
        <w:t xml:space="preserve">for both genes </w:t>
      </w:r>
      <w:r w:rsidR="00BE578B" w:rsidRPr="004A62DD">
        <w:rPr>
          <w:rFonts w:ascii="Arial" w:eastAsia="Times New Roman" w:hAnsi="Arial" w:cs="Arial"/>
          <w:sz w:val="24"/>
          <w:szCs w:val="24"/>
        </w:rPr>
        <w:t xml:space="preserve">contained the forward and reverse primers (each 10 </w:t>
      </w:r>
      <w:proofErr w:type="spellStart"/>
      <w:r w:rsidR="00BE578B" w:rsidRPr="004A62DD">
        <w:rPr>
          <w:rFonts w:ascii="Arial" w:eastAsia="Times New Roman" w:hAnsi="Arial" w:cs="Arial"/>
          <w:sz w:val="24"/>
          <w:szCs w:val="24"/>
        </w:rPr>
        <w:t>μmol</w:t>
      </w:r>
      <w:proofErr w:type="spellEnd"/>
      <w:r w:rsidR="00BE578B" w:rsidRPr="004A62DD">
        <w:rPr>
          <w:rFonts w:ascii="Arial" w:eastAsia="Times New Roman" w:hAnsi="Arial" w:cs="Arial"/>
          <w:sz w:val="24"/>
          <w:szCs w:val="24"/>
        </w:rPr>
        <w:t>/L), 10 mmol/L of dNTP mix, 25 mmol/L of magnesium chloride, ×10 PCR buffer (Applied Biosystems, Carlsbad, CA), 5 U/</w:t>
      </w:r>
      <w:proofErr w:type="spellStart"/>
      <w:r w:rsidR="00BE578B" w:rsidRPr="004A62DD">
        <w:rPr>
          <w:rFonts w:ascii="Arial" w:eastAsia="Times New Roman" w:hAnsi="Arial" w:cs="Arial"/>
          <w:sz w:val="24"/>
          <w:szCs w:val="24"/>
        </w:rPr>
        <w:t>μL</w:t>
      </w:r>
      <w:proofErr w:type="spellEnd"/>
      <w:r w:rsidR="00BE578B" w:rsidRPr="004A62DD">
        <w:rPr>
          <w:rFonts w:ascii="Arial" w:eastAsia="Times New Roman" w:hAnsi="Arial" w:cs="Arial"/>
          <w:sz w:val="24"/>
          <w:szCs w:val="24"/>
        </w:rPr>
        <w:t xml:space="preserve"> of Taq Gold and 200 ng of sample genomic DNA in a total volume of 48 </w:t>
      </w:r>
      <w:proofErr w:type="spellStart"/>
      <w:r w:rsidR="00BE578B" w:rsidRPr="004A62DD">
        <w:rPr>
          <w:rFonts w:ascii="Arial" w:eastAsia="Times New Roman" w:hAnsi="Arial" w:cs="Arial"/>
          <w:sz w:val="24"/>
          <w:szCs w:val="24"/>
        </w:rPr>
        <w:t>μL</w:t>
      </w:r>
      <w:proofErr w:type="spellEnd"/>
      <w:r w:rsidR="00BE578B" w:rsidRPr="004A62DD">
        <w:rPr>
          <w:rFonts w:ascii="Arial" w:eastAsia="Times New Roman" w:hAnsi="Arial" w:cs="Arial"/>
          <w:sz w:val="24"/>
          <w:szCs w:val="24"/>
        </w:rPr>
        <w:t xml:space="preserve">. </w:t>
      </w:r>
      <w:r w:rsidR="00BE578B">
        <w:rPr>
          <w:rFonts w:ascii="Arial" w:eastAsia="Times New Roman" w:hAnsi="Arial" w:cs="Arial"/>
          <w:sz w:val="24"/>
          <w:szCs w:val="24"/>
        </w:rPr>
        <w:t xml:space="preserve">Subsequently, </w:t>
      </w:r>
      <w:r w:rsidR="00BE578B" w:rsidRPr="004A62DD">
        <w:rPr>
          <w:rFonts w:ascii="Arial" w:eastAsia="Times New Roman" w:hAnsi="Arial" w:cs="Arial"/>
          <w:sz w:val="24"/>
          <w:szCs w:val="24"/>
        </w:rPr>
        <w:t xml:space="preserve">PCR amplification </w:t>
      </w:r>
      <w:r w:rsidR="00BE578B">
        <w:rPr>
          <w:rFonts w:ascii="Arial" w:eastAsia="Times New Roman" w:hAnsi="Arial" w:cs="Arial"/>
          <w:sz w:val="24"/>
          <w:szCs w:val="24"/>
        </w:rPr>
        <w:t xml:space="preserve">for both target genes </w:t>
      </w:r>
      <w:r w:rsidR="00BE578B" w:rsidRPr="004A62DD">
        <w:rPr>
          <w:rFonts w:ascii="Arial" w:eastAsia="Times New Roman" w:hAnsi="Arial" w:cs="Arial"/>
          <w:sz w:val="24"/>
          <w:szCs w:val="24"/>
        </w:rPr>
        <w:t>was performed on an ABI 2720 The</w:t>
      </w:r>
      <w:r w:rsidR="00BE578B">
        <w:rPr>
          <w:rFonts w:ascii="Arial" w:eastAsia="Times New Roman" w:hAnsi="Arial" w:cs="Arial"/>
          <w:sz w:val="24"/>
          <w:szCs w:val="24"/>
        </w:rPr>
        <w:t>rmocycler (Applied Biosystems</w:t>
      </w:r>
      <w:r w:rsidR="00211353">
        <w:rPr>
          <w:rFonts w:ascii="Arial" w:eastAsia="Times New Roman" w:hAnsi="Arial" w:cs="Arial"/>
          <w:sz w:val="24"/>
          <w:szCs w:val="24"/>
        </w:rPr>
        <w:t>, USA</w:t>
      </w:r>
      <w:r w:rsidR="00BE578B">
        <w:rPr>
          <w:rFonts w:ascii="Arial" w:eastAsia="Times New Roman" w:hAnsi="Arial" w:cs="Arial"/>
          <w:sz w:val="24"/>
          <w:szCs w:val="24"/>
        </w:rPr>
        <w:t xml:space="preserve">) with the following </w:t>
      </w:r>
      <w:r w:rsidR="00BE578B" w:rsidRPr="004A62DD">
        <w:rPr>
          <w:rFonts w:ascii="Arial" w:eastAsia="Times New Roman" w:hAnsi="Arial" w:cs="Arial"/>
          <w:sz w:val="24"/>
          <w:szCs w:val="24"/>
        </w:rPr>
        <w:t>cycling conditions</w:t>
      </w:r>
      <w:r w:rsidR="00BE578B">
        <w:rPr>
          <w:rFonts w:ascii="Arial" w:eastAsia="Times New Roman" w:hAnsi="Arial" w:cs="Arial"/>
          <w:sz w:val="24"/>
          <w:szCs w:val="24"/>
        </w:rPr>
        <w:t>:</w:t>
      </w:r>
      <w:r w:rsidR="00BE578B" w:rsidRPr="004A62DD">
        <w:rPr>
          <w:rFonts w:ascii="Arial" w:eastAsia="Times New Roman" w:hAnsi="Arial" w:cs="Arial"/>
          <w:sz w:val="24"/>
          <w:szCs w:val="24"/>
        </w:rPr>
        <w:t xml:space="preserve"> initial denaturing at 95ºC for 12 minutes, 50 cycles at 94ºC for 30 seconds, 55ºC for 30 seconds, and 72ºC for 30 seconds, and final extension at 72ºC for 10 minutes. Appropriate positive (melanoma cell line A375, for </w:t>
      </w:r>
      <w:r w:rsidR="00BE578B" w:rsidRPr="00BE578B">
        <w:rPr>
          <w:rFonts w:ascii="Arial" w:eastAsia="Times New Roman" w:hAnsi="Arial" w:cs="Arial"/>
          <w:i/>
          <w:sz w:val="24"/>
          <w:szCs w:val="24"/>
        </w:rPr>
        <w:t>BRAF</w:t>
      </w:r>
      <w:r w:rsidR="00BE578B">
        <w:rPr>
          <w:rFonts w:ascii="Arial" w:eastAsia="Times New Roman" w:hAnsi="Arial" w:cs="Arial"/>
          <w:sz w:val="24"/>
          <w:szCs w:val="24"/>
        </w:rPr>
        <w:t xml:space="preserve"> </w:t>
      </w:r>
      <w:r w:rsidR="00BE578B" w:rsidRPr="004A62DD">
        <w:rPr>
          <w:rFonts w:ascii="Arial" w:eastAsia="Times New Roman" w:hAnsi="Arial" w:cs="Arial"/>
          <w:sz w:val="24"/>
          <w:szCs w:val="24"/>
        </w:rPr>
        <w:t>exon 15</w:t>
      </w:r>
      <w:r w:rsidR="00BE578B">
        <w:rPr>
          <w:rFonts w:ascii="Arial" w:eastAsia="Times New Roman" w:hAnsi="Arial" w:cs="Arial"/>
          <w:sz w:val="24"/>
          <w:szCs w:val="24"/>
        </w:rPr>
        <w:t xml:space="preserve"> </w:t>
      </w:r>
      <w:r w:rsidR="00BE578B">
        <w:rPr>
          <w:rFonts w:ascii="Arial" w:eastAsia="Times New Roman" w:hAnsi="Arial" w:cs="Arial"/>
          <w:sz w:val="24"/>
          <w:szCs w:val="24"/>
        </w:rPr>
        <w:lastRenderedPageBreak/>
        <w:t xml:space="preserve">and prior positive sample for </w:t>
      </w:r>
      <w:r w:rsidR="00BE578B" w:rsidRPr="00BE578B">
        <w:rPr>
          <w:rFonts w:ascii="Arial" w:eastAsia="Times New Roman" w:hAnsi="Arial" w:cs="Arial"/>
          <w:i/>
          <w:sz w:val="24"/>
          <w:szCs w:val="24"/>
        </w:rPr>
        <w:t>KRAS</w:t>
      </w:r>
      <w:r w:rsidR="00BE578B" w:rsidRPr="004A62DD">
        <w:rPr>
          <w:rFonts w:ascii="Arial" w:eastAsia="Times New Roman" w:hAnsi="Arial" w:cs="Arial"/>
          <w:sz w:val="24"/>
          <w:szCs w:val="24"/>
        </w:rPr>
        <w:t xml:space="preserve">), negative (control sample), and reagent controls were included. The PCR products underwent electrophoresis on agarose gels to confirm successful amplification of the PCR products before pyrosequencing. PCR products (each 15 </w:t>
      </w:r>
      <w:proofErr w:type="spellStart"/>
      <w:r w:rsidR="00BE578B" w:rsidRPr="004A62DD">
        <w:rPr>
          <w:rFonts w:ascii="Arial" w:eastAsia="Times New Roman" w:hAnsi="Arial" w:cs="Arial"/>
          <w:sz w:val="24"/>
          <w:szCs w:val="24"/>
        </w:rPr>
        <w:t>μL</w:t>
      </w:r>
      <w:proofErr w:type="spellEnd"/>
      <w:r w:rsidR="00BE578B" w:rsidRPr="004A62DD">
        <w:rPr>
          <w:rFonts w:ascii="Arial" w:eastAsia="Times New Roman" w:hAnsi="Arial" w:cs="Arial"/>
          <w:sz w:val="24"/>
          <w:szCs w:val="24"/>
        </w:rPr>
        <w:t xml:space="preserve">) </w:t>
      </w:r>
      <w:proofErr w:type="gramStart"/>
      <w:r w:rsidR="00BE578B" w:rsidRPr="004A62DD">
        <w:rPr>
          <w:rFonts w:ascii="Arial" w:eastAsia="Times New Roman" w:hAnsi="Arial" w:cs="Arial"/>
          <w:sz w:val="24"/>
          <w:szCs w:val="24"/>
        </w:rPr>
        <w:t>were then sequenced</w:t>
      </w:r>
      <w:proofErr w:type="gramEnd"/>
      <w:r w:rsidR="00BE578B" w:rsidRPr="004A62DD">
        <w:rPr>
          <w:rFonts w:ascii="Arial" w:eastAsia="Times New Roman" w:hAnsi="Arial" w:cs="Arial"/>
          <w:sz w:val="24"/>
          <w:szCs w:val="24"/>
        </w:rPr>
        <w:t xml:space="preserve"> in duplicate using the pyrosequencing PSQ96 HS System (</w:t>
      </w:r>
      <w:proofErr w:type="spellStart"/>
      <w:r w:rsidR="00BE578B" w:rsidRPr="004A62DD">
        <w:rPr>
          <w:rFonts w:ascii="Arial" w:eastAsia="Times New Roman" w:hAnsi="Arial" w:cs="Arial"/>
          <w:sz w:val="24"/>
          <w:szCs w:val="24"/>
        </w:rPr>
        <w:t>Biotage</w:t>
      </w:r>
      <w:proofErr w:type="spellEnd"/>
      <w:r w:rsidR="00BE578B" w:rsidRPr="004A62DD">
        <w:rPr>
          <w:rFonts w:ascii="Arial" w:eastAsia="Times New Roman" w:hAnsi="Arial" w:cs="Arial"/>
          <w:sz w:val="24"/>
          <w:szCs w:val="24"/>
        </w:rPr>
        <w:t xml:space="preserve"> AB, Uppsala, Sweden) per manufacturer’s instructions.</w:t>
      </w:r>
    </w:p>
    <w:p w:rsidR="004A62DD" w:rsidRPr="004A62DD" w:rsidRDefault="00BE578B" w:rsidP="004A62DD">
      <w:pPr>
        <w:tabs>
          <w:tab w:val="left" w:pos="1080"/>
          <w:tab w:val="left" w:pos="1440"/>
        </w:tabs>
        <w:spacing w:after="0" w:line="480" w:lineRule="auto"/>
        <w:jc w:val="both"/>
        <w:rPr>
          <w:rFonts w:ascii="Arial" w:eastAsia="Times New Roman" w:hAnsi="Arial" w:cs="Arial"/>
          <w:sz w:val="24"/>
          <w:szCs w:val="24"/>
        </w:rPr>
      </w:pPr>
      <w:proofErr w:type="gramStart"/>
      <w:r>
        <w:rPr>
          <w:rFonts w:ascii="Arial" w:eastAsia="Times New Roman" w:hAnsi="Arial" w:cs="Arial"/>
          <w:sz w:val="24"/>
          <w:szCs w:val="24"/>
        </w:rPr>
        <w:t>Mutations in exons 18 to 21 of</w:t>
      </w:r>
      <w:r w:rsidR="004A62DD">
        <w:rPr>
          <w:rFonts w:ascii="Arial" w:eastAsia="Times New Roman" w:hAnsi="Arial" w:cs="Arial"/>
          <w:sz w:val="24"/>
          <w:szCs w:val="24"/>
        </w:rPr>
        <w:t xml:space="preserve"> </w:t>
      </w:r>
      <w:r w:rsidR="004A62DD" w:rsidRPr="004A62DD">
        <w:rPr>
          <w:rFonts w:ascii="Arial" w:eastAsia="Times New Roman" w:hAnsi="Arial" w:cs="Arial"/>
          <w:i/>
          <w:sz w:val="24"/>
          <w:szCs w:val="24"/>
        </w:rPr>
        <w:t>EGFR</w:t>
      </w:r>
      <w:r>
        <w:rPr>
          <w:rFonts w:ascii="Arial" w:eastAsia="Times New Roman" w:hAnsi="Arial" w:cs="Arial"/>
          <w:sz w:val="24"/>
          <w:szCs w:val="24"/>
        </w:rPr>
        <w:t xml:space="preserve"> were assessed using Sanger sequencing using the following primers:</w:t>
      </w:r>
      <w:r w:rsidR="004A62DD">
        <w:rPr>
          <w:rFonts w:ascii="Arial" w:eastAsia="Times New Roman" w:hAnsi="Arial" w:cs="Arial"/>
          <w:i/>
          <w:sz w:val="24"/>
          <w:szCs w:val="24"/>
        </w:rPr>
        <w:t xml:space="preserve"> </w:t>
      </w:r>
      <w:r w:rsidR="004A62DD">
        <w:rPr>
          <w:rFonts w:ascii="Arial" w:eastAsia="Times New Roman" w:hAnsi="Arial" w:cs="Arial"/>
          <w:sz w:val="24"/>
          <w:szCs w:val="24"/>
        </w:rPr>
        <w:t xml:space="preserve">exon 18 </w:t>
      </w:r>
      <w:r>
        <w:rPr>
          <w:rFonts w:ascii="Arial" w:eastAsia="Times New Roman" w:hAnsi="Arial" w:cs="Arial"/>
          <w:sz w:val="24"/>
          <w:szCs w:val="24"/>
        </w:rPr>
        <w:t>forward (</w:t>
      </w:r>
      <w:r w:rsidR="004A62DD">
        <w:rPr>
          <w:rFonts w:ascii="Arial" w:eastAsia="Times New Roman" w:hAnsi="Arial" w:cs="Arial"/>
          <w:sz w:val="24"/>
          <w:szCs w:val="24"/>
        </w:rPr>
        <w:t>M13-CAA GTG CCC TGT CCT GGC ACC CAA GC</w:t>
      </w:r>
      <w:r>
        <w:rPr>
          <w:rFonts w:ascii="Arial" w:eastAsia="Times New Roman" w:hAnsi="Arial" w:cs="Arial"/>
          <w:sz w:val="24"/>
          <w:szCs w:val="24"/>
        </w:rPr>
        <w:t>) and</w:t>
      </w:r>
      <w:r w:rsidR="004A62DD">
        <w:rPr>
          <w:rFonts w:ascii="Arial" w:eastAsia="Times New Roman" w:hAnsi="Arial" w:cs="Arial"/>
          <w:sz w:val="24"/>
          <w:szCs w:val="24"/>
        </w:rPr>
        <w:t xml:space="preserve"> </w:t>
      </w:r>
      <w:r>
        <w:rPr>
          <w:rFonts w:ascii="Arial" w:eastAsia="Times New Roman" w:hAnsi="Arial" w:cs="Arial"/>
          <w:sz w:val="24"/>
          <w:szCs w:val="24"/>
        </w:rPr>
        <w:t>reverse (</w:t>
      </w:r>
      <w:r w:rsidR="004A62DD">
        <w:rPr>
          <w:rFonts w:ascii="Arial" w:eastAsia="Times New Roman" w:hAnsi="Arial" w:cs="Arial"/>
          <w:sz w:val="24"/>
          <w:szCs w:val="24"/>
        </w:rPr>
        <w:t>M13-CCA AAC ACT CAG TGA AAC AAA GAG</w:t>
      </w:r>
      <w:r>
        <w:rPr>
          <w:rFonts w:ascii="Arial" w:eastAsia="Times New Roman" w:hAnsi="Arial" w:cs="Arial"/>
          <w:sz w:val="24"/>
          <w:szCs w:val="24"/>
        </w:rPr>
        <w:t>), exon 1</w:t>
      </w:r>
      <w:r w:rsidR="004A62DD">
        <w:rPr>
          <w:rFonts w:ascii="Arial" w:eastAsia="Times New Roman" w:hAnsi="Arial" w:cs="Arial"/>
          <w:sz w:val="24"/>
          <w:szCs w:val="24"/>
        </w:rPr>
        <w:t>9</w:t>
      </w:r>
      <w:r>
        <w:rPr>
          <w:rFonts w:ascii="Arial" w:eastAsia="Times New Roman" w:hAnsi="Arial" w:cs="Arial"/>
          <w:sz w:val="24"/>
          <w:szCs w:val="24"/>
        </w:rPr>
        <w:t xml:space="preserve"> forward (</w:t>
      </w:r>
      <w:r w:rsidR="004A62DD">
        <w:rPr>
          <w:rFonts w:ascii="Arial" w:eastAsia="Times New Roman" w:hAnsi="Arial" w:cs="Arial"/>
          <w:sz w:val="24"/>
          <w:szCs w:val="24"/>
        </w:rPr>
        <w:t>M13-GTA ACA TCC ACC CAG ATC</w:t>
      </w:r>
      <w:r>
        <w:rPr>
          <w:rFonts w:ascii="Arial" w:eastAsia="Times New Roman" w:hAnsi="Arial" w:cs="Arial"/>
          <w:sz w:val="24"/>
          <w:szCs w:val="24"/>
        </w:rPr>
        <w:t>) and reverse</w:t>
      </w:r>
      <w:r w:rsidR="004A62DD">
        <w:rPr>
          <w:rFonts w:ascii="Arial" w:eastAsia="Times New Roman" w:hAnsi="Arial" w:cs="Arial"/>
          <w:sz w:val="24"/>
          <w:szCs w:val="24"/>
        </w:rPr>
        <w:t xml:space="preserve"> </w:t>
      </w:r>
      <w:r>
        <w:rPr>
          <w:rFonts w:ascii="Arial" w:eastAsia="Times New Roman" w:hAnsi="Arial" w:cs="Arial"/>
          <w:sz w:val="24"/>
          <w:szCs w:val="24"/>
        </w:rPr>
        <w:t>(</w:t>
      </w:r>
      <w:r w:rsidR="004A62DD">
        <w:rPr>
          <w:rFonts w:ascii="Arial" w:eastAsia="Times New Roman" w:hAnsi="Arial" w:cs="Arial"/>
          <w:sz w:val="24"/>
          <w:szCs w:val="24"/>
        </w:rPr>
        <w:t>M13-GTC TAG AGC AGA GCA GCT G</w:t>
      </w:r>
      <w:r>
        <w:rPr>
          <w:rFonts w:ascii="Arial" w:eastAsia="Times New Roman" w:hAnsi="Arial" w:cs="Arial"/>
          <w:sz w:val="24"/>
          <w:szCs w:val="24"/>
        </w:rPr>
        <w:t>), exon 2</w:t>
      </w:r>
      <w:r w:rsidR="004A62DD">
        <w:rPr>
          <w:rFonts w:ascii="Arial" w:eastAsia="Times New Roman" w:hAnsi="Arial" w:cs="Arial"/>
          <w:sz w:val="24"/>
          <w:szCs w:val="24"/>
        </w:rPr>
        <w:t>0</w:t>
      </w:r>
      <w:r>
        <w:rPr>
          <w:rFonts w:ascii="Arial" w:eastAsia="Times New Roman" w:hAnsi="Arial" w:cs="Arial"/>
          <w:sz w:val="24"/>
          <w:szCs w:val="24"/>
        </w:rPr>
        <w:t xml:space="preserve"> forward</w:t>
      </w:r>
      <w:r w:rsidR="004A62DD">
        <w:rPr>
          <w:rFonts w:ascii="Arial" w:eastAsia="Times New Roman" w:hAnsi="Arial" w:cs="Arial"/>
          <w:sz w:val="24"/>
          <w:szCs w:val="24"/>
        </w:rPr>
        <w:t xml:space="preserve"> </w:t>
      </w:r>
      <w:r>
        <w:rPr>
          <w:rFonts w:ascii="Arial" w:eastAsia="Times New Roman" w:hAnsi="Arial" w:cs="Arial"/>
          <w:sz w:val="24"/>
          <w:szCs w:val="24"/>
        </w:rPr>
        <w:t>(</w:t>
      </w:r>
      <w:r w:rsidR="004A62DD">
        <w:rPr>
          <w:rFonts w:ascii="Arial" w:eastAsia="Times New Roman" w:hAnsi="Arial" w:cs="Arial"/>
          <w:sz w:val="24"/>
          <w:szCs w:val="24"/>
        </w:rPr>
        <w:t>M13-GAA ACT CAA GAT CGC ATT CAT GC</w:t>
      </w:r>
      <w:r>
        <w:rPr>
          <w:rFonts w:ascii="Arial" w:eastAsia="Times New Roman" w:hAnsi="Arial" w:cs="Arial"/>
          <w:sz w:val="24"/>
          <w:szCs w:val="24"/>
        </w:rPr>
        <w:t>) and reverse</w:t>
      </w:r>
      <w:r w:rsidR="004A62DD">
        <w:rPr>
          <w:rFonts w:ascii="Arial" w:eastAsia="Times New Roman" w:hAnsi="Arial" w:cs="Arial"/>
          <w:sz w:val="24"/>
          <w:szCs w:val="24"/>
        </w:rPr>
        <w:t xml:space="preserve"> </w:t>
      </w:r>
      <w:r>
        <w:rPr>
          <w:rFonts w:ascii="Arial" w:eastAsia="Times New Roman" w:hAnsi="Arial" w:cs="Arial"/>
          <w:sz w:val="24"/>
          <w:szCs w:val="24"/>
        </w:rPr>
        <w:t>(</w:t>
      </w:r>
      <w:r w:rsidR="004A62DD">
        <w:rPr>
          <w:rFonts w:ascii="Arial" w:eastAsia="Times New Roman" w:hAnsi="Arial" w:cs="Arial"/>
          <w:sz w:val="24"/>
          <w:szCs w:val="24"/>
        </w:rPr>
        <w:t>M13-GCA AAC TCT TGC TAT CCC AGG AG</w:t>
      </w:r>
      <w:r>
        <w:rPr>
          <w:rFonts w:ascii="Arial" w:eastAsia="Times New Roman" w:hAnsi="Arial" w:cs="Arial"/>
          <w:sz w:val="24"/>
          <w:szCs w:val="24"/>
        </w:rPr>
        <w:t xml:space="preserve">), and exon </w:t>
      </w:r>
      <w:r w:rsidR="004A62DD">
        <w:rPr>
          <w:rFonts w:ascii="Arial" w:eastAsia="Times New Roman" w:hAnsi="Arial" w:cs="Arial"/>
          <w:sz w:val="24"/>
          <w:szCs w:val="24"/>
        </w:rPr>
        <w:t>21</w:t>
      </w:r>
      <w:r>
        <w:rPr>
          <w:rFonts w:ascii="Arial" w:eastAsia="Times New Roman" w:hAnsi="Arial" w:cs="Arial"/>
          <w:sz w:val="24"/>
          <w:szCs w:val="24"/>
        </w:rPr>
        <w:t xml:space="preserve"> forward</w:t>
      </w:r>
      <w:r w:rsidR="004A62DD">
        <w:rPr>
          <w:rFonts w:ascii="Arial" w:eastAsia="Times New Roman" w:hAnsi="Arial" w:cs="Arial"/>
          <w:sz w:val="24"/>
          <w:szCs w:val="24"/>
        </w:rPr>
        <w:t xml:space="preserve"> </w:t>
      </w:r>
      <w:r>
        <w:rPr>
          <w:rFonts w:ascii="Arial" w:eastAsia="Times New Roman" w:hAnsi="Arial" w:cs="Arial"/>
          <w:sz w:val="24"/>
          <w:szCs w:val="24"/>
        </w:rPr>
        <w:t>(</w:t>
      </w:r>
      <w:r w:rsidR="004A62DD">
        <w:rPr>
          <w:rFonts w:ascii="Arial" w:eastAsia="Times New Roman" w:hAnsi="Arial" w:cs="Arial"/>
          <w:sz w:val="24"/>
          <w:szCs w:val="24"/>
        </w:rPr>
        <w:t>M13-CAG CCA TAA GTC CTC GAC GTG G</w:t>
      </w:r>
      <w:r>
        <w:rPr>
          <w:rFonts w:ascii="Arial" w:eastAsia="Times New Roman" w:hAnsi="Arial" w:cs="Arial"/>
          <w:sz w:val="24"/>
          <w:szCs w:val="24"/>
        </w:rPr>
        <w:t>) and reverse</w:t>
      </w:r>
      <w:r w:rsidR="00AE0927">
        <w:rPr>
          <w:rFonts w:ascii="Arial" w:eastAsia="Times New Roman" w:hAnsi="Arial" w:cs="Arial"/>
          <w:sz w:val="24"/>
          <w:szCs w:val="24"/>
        </w:rPr>
        <w:t xml:space="preserve"> </w:t>
      </w:r>
      <w:r>
        <w:rPr>
          <w:rFonts w:ascii="Arial" w:eastAsia="Times New Roman" w:hAnsi="Arial" w:cs="Arial"/>
          <w:sz w:val="24"/>
          <w:szCs w:val="24"/>
        </w:rPr>
        <w:t>(</w:t>
      </w:r>
      <w:r w:rsidR="00AE0927">
        <w:rPr>
          <w:rFonts w:ascii="Arial" w:eastAsia="Times New Roman" w:hAnsi="Arial" w:cs="Arial"/>
          <w:sz w:val="24"/>
          <w:szCs w:val="24"/>
        </w:rPr>
        <w:t>M13-CAT CCT CCC CTG GAT GTG TTA AAC</w:t>
      </w:r>
      <w:r w:rsidR="004A62DD">
        <w:rPr>
          <w:rFonts w:ascii="Arial" w:eastAsia="Times New Roman" w:hAnsi="Arial" w:cs="Arial"/>
          <w:sz w:val="24"/>
          <w:szCs w:val="24"/>
        </w:rPr>
        <w:t>)</w:t>
      </w:r>
      <w:r w:rsidR="00AE0927">
        <w:rPr>
          <w:rFonts w:ascii="Arial" w:eastAsia="Times New Roman" w:hAnsi="Arial" w:cs="Arial"/>
          <w:sz w:val="24"/>
          <w:szCs w:val="24"/>
        </w:rPr>
        <w:t>.</w:t>
      </w:r>
      <w:proofErr w:type="gramEnd"/>
      <w:r w:rsidR="00AE0927">
        <w:rPr>
          <w:rFonts w:ascii="Arial" w:eastAsia="Times New Roman" w:hAnsi="Arial" w:cs="Arial"/>
          <w:sz w:val="24"/>
          <w:szCs w:val="24"/>
        </w:rPr>
        <w:t xml:space="preserve"> </w:t>
      </w:r>
      <w:r w:rsidR="00790C1D">
        <w:rPr>
          <w:rFonts w:ascii="Arial" w:eastAsia="Times New Roman" w:hAnsi="Arial" w:cs="Arial"/>
          <w:sz w:val="24"/>
          <w:szCs w:val="24"/>
        </w:rPr>
        <w:t xml:space="preserve">The PCR master mix was amplified as described above using </w:t>
      </w:r>
      <w:r w:rsidR="00790C1D">
        <w:rPr>
          <w:rFonts w:ascii="Arial" w:eastAsia="Times New Roman" w:hAnsi="Arial" w:cs="Arial"/>
          <w:sz w:val="24"/>
          <w:szCs w:val="24"/>
        </w:rPr>
        <w:t xml:space="preserve">the following </w:t>
      </w:r>
      <w:r w:rsidR="00790C1D" w:rsidRPr="004A62DD">
        <w:rPr>
          <w:rFonts w:ascii="Arial" w:eastAsia="Times New Roman" w:hAnsi="Arial" w:cs="Arial"/>
          <w:sz w:val="24"/>
          <w:szCs w:val="24"/>
        </w:rPr>
        <w:t>cycling conditions</w:t>
      </w:r>
      <w:r w:rsidR="00790C1D">
        <w:rPr>
          <w:rFonts w:ascii="Arial" w:eastAsia="Times New Roman" w:hAnsi="Arial" w:cs="Arial"/>
          <w:sz w:val="24"/>
          <w:szCs w:val="24"/>
        </w:rPr>
        <w:t>:</w:t>
      </w:r>
      <w:r w:rsidR="00790C1D" w:rsidRPr="004A62DD">
        <w:rPr>
          <w:rFonts w:ascii="Arial" w:eastAsia="Times New Roman" w:hAnsi="Arial" w:cs="Arial"/>
          <w:sz w:val="24"/>
          <w:szCs w:val="24"/>
        </w:rPr>
        <w:t xml:space="preserve"> initial denaturing at 95ºC for 1</w:t>
      </w:r>
      <w:r w:rsidR="00790C1D">
        <w:rPr>
          <w:rFonts w:ascii="Arial" w:eastAsia="Times New Roman" w:hAnsi="Arial" w:cs="Arial"/>
          <w:sz w:val="24"/>
          <w:szCs w:val="24"/>
        </w:rPr>
        <w:t>0</w:t>
      </w:r>
      <w:r w:rsidR="00790C1D" w:rsidRPr="004A62DD">
        <w:rPr>
          <w:rFonts w:ascii="Arial" w:eastAsia="Times New Roman" w:hAnsi="Arial" w:cs="Arial"/>
          <w:sz w:val="24"/>
          <w:szCs w:val="24"/>
        </w:rPr>
        <w:t xml:space="preserve"> minutes, 50 cycles at 94ºC for </w:t>
      </w:r>
      <w:r w:rsidR="00790C1D">
        <w:rPr>
          <w:rFonts w:ascii="Arial" w:eastAsia="Times New Roman" w:hAnsi="Arial" w:cs="Arial"/>
          <w:sz w:val="24"/>
          <w:szCs w:val="24"/>
        </w:rPr>
        <w:t>1 minute</w:t>
      </w:r>
      <w:r w:rsidR="00790C1D" w:rsidRPr="004A62DD">
        <w:rPr>
          <w:rFonts w:ascii="Arial" w:eastAsia="Times New Roman" w:hAnsi="Arial" w:cs="Arial"/>
          <w:sz w:val="24"/>
          <w:szCs w:val="24"/>
        </w:rPr>
        <w:t xml:space="preserve">, </w:t>
      </w:r>
      <w:r w:rsidR="00790C1D">
        <w:rPr>
          <w:rFonts w:ascii="Arial" w:eastAsia="Times New Roman" w:hAnsi="Arial" w:cs="Arial"/>
          <w:sz w:val="24"/>
          <w:szCs w:val="24"/>
        </w:rPr>
        <w:t>60</w:t>
      </w:r>
      <w:r w:rsidR="00790C1D" w:rsidRPr="004A62DD">
        <w:rPr>
          <w:rFonts w:ascii="Arial" w:eastAsia="Times New Roman" w:hAnsi="Arial" w:cs="Arial"/>
          <w:sz w:val="24"/>
          <w:szCs w:val="24"/>
        </w:rPr>
        <w:t xml:space="preserve">ºC for </w:t>
      </w:r>
      <w:r w:rsidR="00790C1D">
        <w:rPr>
          <w:rFonts w:ascii="Arial" w:eastAsia="Times New Roman" w:hAnsi="Arial" w:cs="Arial"/>
          <w:sz w:val="24"/>
          <w:szCs w:val="24"/>
        </w:rPr>
        <w:t>1 minute</w:t>
      </w:r>
      <w:r w:rsidR="00790C1D" w:rsidRPr="004A62DD">
        <w:rPr>
          <w:rFonts w:ascii="Arial" w:eastAsia="Times New Roman" w:hAnsi="Arial" w:cs="Arial"/>
          <w:sz w:val="24"/>
          <w:szCs w:val="24"/>
        </w:rPr>
        <w:t xml:space="preserve">, and 72ºC for </w:t>
      </w:r>
      <w:r w:rsidR="00790C1D">
        <w:rPr>
          <w:rFonts w:ascii="Arial" w:eastAsia="Times New Roman" w:hAnsi="Arial" w:cs="Arial"/>
          <w:sz w:val="24"/>
          <w:szCs w:val="24"/>
        </w:rPr>
        <w:t>1 minute</w:t>
      </w:r>
      <w:r w:rsidR="00790C1D" w:rsidRPr="004A62DD">
        <w:rPr>
          <w:rFonts w:ascii="Arial" w:eastAsia="Times New Roman" w:hAnsi="Arial" w:cs="Arial"/>
          <w:sz w:val="24"/>
          <w:szCs w:val="24"/>
        </w:rPr>
        <w:t>, and final extension at 72ºC for 10 minutes.</w:t>
      </w:r>
      <w:r w:rsidR="00790C1D">
        <w:rPr>
          <w:rFonts w:ascii="Arial" w:eastAsia="Times New Roman" w:hAnsi="Arial" w:cs="Arial"/>
          <w:sz w:val="24"/>
          <w:szCs w:val="24"/>
        </w:rPr>
        <w:t xml:space="preserve"> </w:t>
      </w:r>
      <w:r w:rsidR="00790C1D" w:rsidRPr="004A62DD">
        <w:rPr>
          <w:rFonts w:ascii="Arial" w:eastAsia="Times New Roman" w:hAnsi="Arial" w:cs="Arial"/>
          <w:sz w:val="24"/>
          <w:szCs w:val="24"/>
        </w:rPr>
        <w:t>Appropriate positive (</w:t>
      </w:r>
      <w:r w:rsidR="00211353">
        <w:rPr>
          <w:rFonts w:ascii="Arial" w:eastAsia="Times New Roman" w:hAnsi="Arial" w:cs="Arial"/>
          <w:sz w:val="24"/>
          <w:szCs w:val="24"/>
        </w:rPr>
        <w:t>previously positive patient sample</w:t>
      </w:r>
      <w:r w:rsidR="00790C1D" w:rsidRPr="004A62DD">
        <w:rPr>
          <w:rFonts w:ascii="Arial" w:eastAsia="Times New Roman" w:hAnsi="Arial" w:cs="Arial"/>
          <w:sz w:val="24"/>
          <w:szCs w:val="24"/>
        </w:rPr>
        <w:t>), negative (</w:t>
      </w:r>
      <w:proofErr w:type="spellStart"/>
      <w:r w:rsidR="00211353">
        <w:rPr>
          <w:rFonts w:ascii="Arial" w:eastAsia="Times New Roman" w:hAnsi="Arial" w:cs="Arial"/>
          <w:sz w:val="24"/>
          <w:szCs w:val="24"/>
        </w:rPr>
        <w:t>Tijerina</w:t>
      </w:r>
      <w:proofErr w:type="spellEnd"/>
      <w:r w:rsidR="00211353">
        <w:rPr>
          <w:rFonts w:ascii="Arial" w:eastAsia="Times New Roman" w:hAnsi="Arial" w:cs="Arial"/>
          <w:sz w:val="24"/>
          <w:szCs w:val="24"/>
        </w:rPr>
        <w:t xml:space="preserve"> cell line negative for </w:t>
      </w:r>
      <w:r w:rsidR="00211353" w:rsidRPr="00211353">
        <w:rPr>
          <w:rFonts w:ascii="Arial" w:eastAsia="Times New Roman" w:hAnsi="Arial" w:cs="Arial"/>
          <w:i/>
          <w:sz w:val="24"/>
          <w:szCs w:val="24"/>
        </w:rPr>
        <w:t>EGFR</w:t>
      </w:r>
      <w:r w:rsidR="00211353">
        <w:rPr>
          <w:rFonts w:ascii="Arial" w:eastAsia="Times New Roman" w:hAnsi="Arial" w:cs="Arial"/>
          <w:sz w:val="24"/>
          <w:szCs w:val="24"/>
        </w:rPr>
        <w:t xml:space="preserve"> mutation</w:t>
      </w:r>
      <w:r w:rsidR="00790C1D" w:rsidRPr="004A62DD">
        <w:rPr>
          <w:rFonts w:ascii="Arial" w:eastAsia="Times New Roman" w:hAnsi="Arial" w:cs="Arial"/>
          <w:sz w:val="24"/>
          <w:szCs w:val="24"/>
        </w:rPr>
        <w:t xml:space="preserve">), and reagent controls were included. The PCR products underwent electrophoresis on agarose gels to confirm successful amplification </w:t>
      </w:r>
      <w:r w:rsidR="00790C1D">
        <w:rPr>
          <w:rFonts w:ascii="Arial" w:eastAsia="Times New Roman" w:hAnsi="Arial" w:cs="Arial"/>
          <w:sz w:val="24"/>
          <w:szCs w:val="24"/>
        </w:rPr>
        <w:t xml:space="preserve">before Sanger </w:t>
      </w:r>
      <w:r w:rsidR="00790C1D" w:rsidRPr="004A62DD">
        <w:rPr>
          <w:rFonts w:ascii="Arial" w:eastAsia="Times New Roman" w:hAnsi="Arial" w:cs="Arial"/>
          <w:sz w:val="24"/>
          <w:szCs w:val="24"/>
        </w:rPr>
        <w:t>sequencing</w:t>
      </w:r>
      <w:bookmarkStart w:id="0" w:name="_GoBack"/>
      <w:bookmarkEnd w:id="0"/>
      <w:r w:rsidR="00790C1D" w:rsidRPr="004A62DD">
        <w:rPr>
          <w:rFonts w:ascii="Arial" w:eastAsia="Times New Roman" w:hAnsi="Arial" w:cs="Arial"/>
          <w:sz w:val="24"/>
          <w:szCs w:val="24"/>
        </w:rPr>
        <w:t xml:space="preserve"> using the </w:t>
      </w:r>
      <w:r w:rsidR="00790C1D">
        <w:rPr>
          <w:rFonts w:ascii="Arial" w:eastAsia="Times New Roman" w:hAnsi="Arial" w:cs="Arial"/>
          <w:sz w:val="24"/>
          <w:szCs w:val="24"/>
        </w:rPr>
        <w:t>ABI</w:t>
      </w:r>
      <w:r w:rsidR="00211353">
        <w:rPr>
          <w:rFonts w:ascii="Arial" w:eastAsia="Times New Roman" w:hAnsi="Arial" w:cs="Arial"/>
          <w:sz w:val="24"/>
          <w:szCs w:val="24"/>
        </w:rPr>
        <w:t xml:space="preserve"> PRISM </w:t>
      </w:r>
      <w:r w:rsidR="00790C1D">
        <w:rPr>
          <w:rFonts w:ascii="Arial" w:eastAsia="Times New Roman" w:hAnsi="Arial" w:cs="Arial"/>
          <w:sz w:val="24"/>
          <w:szCs w:val="24"/>
        </w:rPr>
        <w:t xml:space="preserve">3130 </w:t>
      </w:r>
      <w:r w:rsidR="00211353">
        <w:rPr>
          <w:rFonts w:ascii="Arial" w:eastAsia="Times New Roman" w:hAnsi="Arial" w:cs="Arial"/>
          <w:sz w:val="24"/>
          <w:szCs w:val="24"/>
        </w:rPr>
        <w:t xml:space="preserve">Genetic </w:t>
      </w:r>
      <w:r w:rsidR="00790C1D">
        <w:rPr>
          <w:rFonts w:ascii="Arial" w:eastAsia="Times New Roman" w:hAnsi="Arial" w:cs="Arial"/>
          <w:sz w:val="24"/>
          <w:szCs w:val="24"/>
        </w:rPr>
        <w:t xml:space="preserve">Analyzer </w:t>
      </w:r>
      <w:r w:rsidR="00790C1D" w:rsidRPr="004A62DD">
        <w:rPr>
          <w:rFonts w:ascii="Arial" w:eastAsia="Times New Roman" w:hAnsi="Arial" w:cs="Arial"/>
          <w:sz w:val="24"/>
          <w:szCs w:val="24"/>
        </w:rPr>
        <w:t>(</w:t>
      </w:r>
      <w:r w:rsidR="00211353" w:rsidRPr="00211353">
        <w:rPr>
          <w:rFonts w:ascii="Arial" w:eastAsia="Times New Roman" w:hAnsi="Arial" w:cs="Arial"/>
          <w:sz w:val="24"/>
          <w:szCs w:val="24"/>
        </w:rPr>
        <w:t>Applied Biosystems</w:t>
      </w:r>
      <w:r w:rsidR="00211353">
        <w:rPr>
          <w:rFonts w:ascii="Arial" w:eastAsia="Times New Roman" w:hAnsi="Arial" w:cs="Arial"/>
          <w:sz w:val="24"/>
          <w:szCs w:val="24"/>
        </w:rPr>
        <w:t>, USA</w:t>
      </w:r>
      <w:r w:rsidR="00790C1D" w:rsidRPr="004A62DD">
        <w:rPr>
          <w:rFonts w:ascii="Arial" w:eastAsia="Times New Roman" w:hAnsi="Arial" w:cs="Arial"/>
          <w:sz w:val="24"/>
          <w:szCs w:val="24"/>
        </w:rPr>
        <w:t>) per manufacturer’s instructions.</w:t>
      </w:r>
    </w:p>
    <w:p w:rsidR="001F136C" w:rsidRDefault="001F136C" w:rsidP="004A62DD">
      <w:pPr>
        <w:tabs>
          <w:tab w:val="left" w:pos="1080"/>
          <w:tab w:val="left" w:pos="1440"/>
        </w:tabs>
        <w:spacing w:after="0" w:line="480" w:lineRule="auto"/>
        <w:jc w:val="both"/>
      </w:pPr>
    </w:p>
    <w:sectPr w:rsidR="001F13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2DD"/>
    <w:rsid w:val="001F136C"/>
    <w:rsid w:val="00211353"/>
    <w:rsid w:val="00274E86"/>
    <w:rsid w:val="004A62DD"/>
    <w:rsid w:val="00790C1D"/>
    <w:rsid w:val="00AE0927"/>
    <w:rsid w:val="00BE578B"/>
    <w:rsid w:val="00ED63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B5FF0"/>
  <w15:chartTrackingRefBased/>
  <w15:docId w15:val="{64A47692-17B6-4FC9-AA29-87FBF70B7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448</Words>
  <Characters>2556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UCSF</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Ruiz-Cordero, Roberto</dc:creator>
  <cp:keywords/>
  <dc:description/>
  <cp:lastModifiedBy>Ruiz-Cordero, Roberto</cp:lastModifiedBy>
  <cp:revision>1</cp:revision>
  <dcterms:created xsi:type="dcterms:W3CDTF">2020-01-10T00:52:00Z</dcterms:created>
  <dcterms:modified xsi:type="dcterms:W3CDTF">2020-01-10T02:18:00Z</dcterms:modified>
</cp:coreProperties>
</file>